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overflowPunct/>
        <w:autoSpaceDE/>
        <w:autoSpaceDN/>
        <w:adjustRightInd/>
        <w:spacing w:line="700" w:lineRule="exact"/>
        <w:ind w:right="159"/>
        <w:jc w:val="center"/>
        <w:textAlignment w:val="auto"/>
        <w:rPr>
          <w:rFonts w:ascii="小标宋" w:hAnsi="方正小标宋简体" w:eastAsia="小标宋"/>
          <w:kern w:val="2"/>
          <w:sz w:val="44"/>
          <w:szCs w:val="44"/>
        </w:rPr>
      </w:pPr>
      <w:r>
        <w:rPr>
          <w:rFonts w:hint="eastAsia" w:ascii="小标宋" w:hAnsi="方正小标宋简体" w:eastAsia="小标宋"/>
          <w:kern w:val="2"/>
          <w:sz w:val="44"/>
          <w:szCs w:val="44"/>
        </w:rPr>
        <w:t>CAA科技成果转化典型案例征集表</w:t>
      </w:r>
    </w:p>
    <w:tbl>
      <w:tblPr>
        <w:tblStyle w:val="11"/>
        <w:tblW w:w="9073"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134"/>
        <w:gridCol w:w="993"/>
        <w:gridCol w:w="992"/>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2127" w:type="dxa"/>
            <w:vAlign w:val="center"/>
          </w:tcPr>
          <w:p>
            <w:pPr>
              <w:widowControl w:val="0"/>
              <w:overflowPunct/>
              <w:autoSpaceDE/>
              <w:autoSpaceDN/>
              <w:adjustRightInd/>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成果名称</w:t>
            </w:r>
          </w:p>
        </w:tc>
        <w:tc>
          <w:tcPr>
            <w:tcW w:w="2127" w:type="dxa"/>
            <w:gridSpan w:val="2"/>
            <w:vAlign w:val="center"/>
          </w:tcPr>
          <w:p>
            <w:pPr>
              <w:widowControl w:val="0"/>
              <w:overflowPunct/>
              <w:autoSpaceDE/>
              <w:autoSpaceDN/>
              <w:adjustRightInd/>
              <w:jc w:val="center"/>
              <w:textAlignment w:val="auto"/>
              <w:rPr>
                <w:rFonts w:ascii="仿宋_GB2312" w:hAnsi="微软雅黑 Light" w:eastAsia="仿宋_GB2312" w:cs="Times New Roman (正文 CS 字体)"/>
                <w:color w:val="000000"/>
                <w:kern w:val="2"/>
                <w:szCs w:val="28"/>
              </w:rPr>
            </w:pPr>
          </w:p>
        </w:tc>
        <w:tc>
          <w:tcPr>
            <w:tcW w:w="992" w:type="dxa"/>
            <w:vAlign w:val="center"/>
          </w:tcPr>
          <w:p>
            <w:pPr>
              <w:widowControl w:val="0"/>
              <w:overflowPunct/>
              <w:autoSpaceDE/>
              <w:autoSpaceDN/>
              <w:adjustRightInd/>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分类</w:t>
            </w:r>
          </w:p>
        </w:tc>
        <w:tc>
          <w:tcPr>
            <w:tcW w:w="3827" w:type="dxa"/>
            <w:vAlign w:val="center"/>
          </w:tcPr>
          <w:p>
            <w:pPr>
              <w:widowControl w:val="0"/>
              <w:overflowPunct/>
              <w:autoSpaceDE/>
              <w:autoSpaceDN/>
              <w:adjustRightInd/>
              <w:textAlignment w:val="auto"/>
              <w:rPr>
                <w:rFonts w:ascii="仿宋_GB2312" w:hAnsi="微软雅黑 Light" w:eastAsia="仿宋_GB2312" w:cs="Times New Roman (正文 CS 字体)"/>
                <w:color w:val="7E7E7E"/>
                <w:kern w:val="2"/>
                <w:szCs w:val="28"/>
              </w:rPr>
            </w:pPr>
            <w:r>
              <w:rPr>
                <w:rFonts w:hint="eastAsia" w:ascii="仿宋_GB2312" w:hAnsi="微软雅黑 Light" w:eastAsia="仿宋_GB2312" w:cs="Times New Roman (正文 CS 字体)"/>
                <w:color w:val="7E7E7E"/>
                <w:kern w:val="2"/>
                <w:szCs w:val="28"/>
              </w:rPr>
              <w:t>按照《战略性新兴产业分类（2018）》填写</w:t>
            </w:r>
          </w:p>
          <w:p>
            <w:pPr>
              <w:widowControl w:val="0"/>
              <w:overflowPunct/>
              <w:autoSpaceDE/>
              <w:autoSpaceDN/>
              <w:adjustRightInd/>
              <w:textAlignment w:val="auto"/>
              <w:rPr>
                <w:rFonts w:ascii="仿宋_GB2312" w:hAnsi="微软雅黑 Light" w:eastAsia="仿宋_GB2312" w:cs="Times New Roman (正文 CS 字体)"/>
                <w:color w:val="7E7E7E"/>
                <w:kern w:val="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2127" w:type="dxa"/>
            <w:vMerge w:val="restart"/>
            <w:vAlign w:val="center"/>
          </w:tcPr>
          <w:p>
            <w:pPr>
              <w:widowControl w:val="0"/>
              <w:overflowPunct/>
              <w:autoSpaceDE/>
              <w:autoSpaceDN/>
              <w:adjustRightInd/>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所属单位</w:t>
            </w:r>
          </w:p>
        </w:tc>
        <w:tc>
          <w:tcPr>
            <w:tcW w:w="6946" w:type="dxa"/>
            <w:gridSpan w:val="4"/>
            <w:vAlign w:val="center"/>
          </w:tcPr>
          <w:p>
            <w:pPr>
              <w:widowControl w:val="0"/>
              <w:overflowPunct/>
              <w:autoSpaceDE/>
              <w:autoSpaceDN/>
              <w:adjustRightInd/>
              <w:textAlignment w:val="auto"/>
              <w:rPr>
                <w:rFonts w:ascii="仿宋_GB2312" w:hAnsi="微软雅黑 Light" w:eastAsia="仿宋_GB2312" w:cs="Times New Roman (正文 CS 字体)"/>
                <w:color w:val="7E7E7E"/>
                <w:kern w:val="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127" w:type="dxa"/>
            <w:vMerge w:val="continue"/>
            <w:vAlign w:val="center"/>
          </w:tcPr>
          <w:p>
            <w:pPr>
              <w:widowControl w:val="0"/>
              <w:overflowPunct/>
              <w:autoSpaceDE/>
              <w:autoSpaceDN/>
              <w:adjustRightInd/>
              <w:jc w:val="center"/>
              <w:textAlignment w:val="auto"/>
              <w:rPr>
                <w:rFonts w:ascii="仿宋_GB2312" w:hAnsi="微软雅黑 Light" w:eastAsia="仿宋_GB2312" w:cs="Times New Roman (正文 CS 字体)"/>
                <w:kern w:val="2"/>
                <w:szCs w:val="28"/>
              </w:rPr>
            </w:pPr>
          </w:p>
        </w:tc>
        <w:tc>
          <w:tcPr>
            <w:tcW w:w="1134" w:type="dxa"/>
            <w:vAlign w:val="center"/>
          </w:tcPr>
          <w:p>
            <w:pPr>
              <w:widowControl w:val="0"/>
              <w:overflowPunct/>
              <w:autoSpaceDE/>
              <w:autoSpaceDN/>
              <w:adjustRightInd/>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联系人</w:t>
            </w:r>
          </w:p>
        </w:tc>
        <w:tc>
          <w:tcPr>
            <w:tcW w:w="993" w:type="dxa"/>
            <w:vAlign w:val="center"/>
          </w:tcPr>
          <w:p>
            <w:pPr>
              <w:widowControl w:val="0"/>
              <w:overflowPunct/>
              <w:autoSpaceDE/>
              <w:autoSpaceDN/>
              <w:adjustRightInd/>
              <w:jc w:val="center"/>
              <w:textAlignment w:val="auto"/>
              <w:rPr>
                <w:rFonts w:ascii="仿宋_GB2312" w:hAnsi="微软雅黑 Light" w:eastAsia="仿宋_GB2312" w:cs="Times New Roman (正文 CS 字体)"/>
                <w:kern w:val="2"/>
                <w:szCs w:val="28"/>
              </w:rPr>
            </w:pPr>
          </w:p>
        </w:tc>
        <w:tc>
          <w:tcPr>
            <w:tcW w:w="992" w:type="dxa"/>
            <w:vAlign w:val="center"/>
          </w:tcPr>
          <w:p>
            <w:pPr>
              <w:widowControl w:val="0"/>
              <w:overflowPunct/>
              <w:autoSpaceDE/>
              <w:autoSpaceDN/>
              <w:adjustRightInd/>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电话</w:t>
            </w:r>
          </w:p>
        </w:tc>
        <w:tc>
          <w:tcPr>
            <w:tcW w:w="3827" w:type="dxa"/>
            <w:vAlign w:val="center"/>
          </w:tcPr>
          <w:p>
            <w:pPr>
              <w:widowControl w:val="0"/>
              <w:overflowPunct/>
              <w:autoSpaceDE/>
              <w:autoSpaceDN/>
              <w:adjustRightInd/>
              <w:jc w:val="center"/>
              <w:textAlignment w:val="auto"/>
              <w:rPr>
                <w:rFonts w:ascii="仿宋_GB2312" w:hAnsi="微软雅黑 Light" w:eastAsia="仿宋_GB2312" w:cs="Times New Roman (正文 CS 字体)"/>
                <w:kern w:val="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2127" w:type="dxa"/>
            <w:vAlign w:val="center"/>
          </w:tcPr>
          <w:p>
            <w:pPr>
              <w:widowControl w:val="0"/>
              <w:overflowPunct/>
              <w:autoSpaceDE/>
              <w:autoSpaceDN/>
              <w:adjustRightInd/>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成果简介</w:t>
            </w:r>
          </w:p>
        </w:tc>
        <w:tc>
          <w:tcPr>
            <w:tcW w:w="6946" w:type="dxa"/>
            <w:gridSpan w:val="4"/>
            <w:vAlign w:val="center"/>
          </w:tcPr>
          <w:p>
            <w:pPr>
              <w:widowControl w:val="0"/>
              <w:overflowPunct/>
              <w:autoSpaceDE/>
              <w:autoSpaceDN/>
              <w:adjustRightInd/>
              <w:jc w:val="center"/>
              <w:textAlignment w:val="auto"/>
              <w:rPr>
                <w:rFonts w:hint="default" w:ascii="仿宋_GB2312" w:hAnsi="仿宋_GB2312" w:eastAsia="仿宋_GB2312" w:cs="Times New Roman (正文 CS 字体)"/>
                <w:kern w:val="2"/>
                <w:szCs w:val="28"/>
                <w:lang w:val="en-US" w:eastAsia="zh-CN"/>
              </w:rPr>
            </w:pPr>
            <w:r>
              <w:rPr>
                <w:rFonts w:hint="eastAsia" w:ascii="仿宋_GB2312" w:hAnsi="仿宋_GB2312" w:eastAsia="仿宋_GB2312" w:cs="Times New Roman (正文 CS 字体)"/>
                <w:kern w:val="2"/>
                <w:szCs w:val="28"/>
              </w:rPr>
              <w:t>成果简介、技术亮点、应用前景等。</w:t>
            </w:r>
            <w:r>
              <w:rPr>
                <w:rFonts w:hint="eastAsia" w:ascii="仿宋_GB2312" w:hAnsi="仿宋_GB2312" w:eastAsia="仿宋_GB2312" w:cs="Times New Roman (正文 CS 字体)"/>
                <w:kern w:val="2"/>
                <w:szCs w:val="28"/>
                <w:lang w:eastAsia="zh-CN"/>
              </w:rPr>
              <w:t>（</w:t>
            </w:r>
            <w:r>
              <w:rPr>
                <w:rFonts w:hint="eastAsia" w:ascii="仿宋_GB2312" w:hAnsi="仿宋_GB2312" w:eastAsia="仿宋_GB2312" w:cs="Times New Roman (正文 CS 字体)"/>
                <w:kern w:val="2"/>
                <w:szCs w:val="28"/>
                <w:lang w:val="en-US" w:eastAsia="zh-CN"/>
              </w:rPr>
              <w:t>图文并茂）</w:t>
            </w:r>
          </w:p>
          <w:p>
            <w:pPr>
              <w:widowControl w:val="0"/>
              <w:overflowPunct/>
              <w:autoSpaceDE/>
              <w:autoSpaceDN/>
              <w:adjustRightInd/>
              <w:jc w:val="center"/>
              <w:textAlignment w:val="auto"/>
              <w:rPr>
                <w:rFonts w:ascii="仿宋_GB2312" w:hAnsi="仿宋_GB2312" w:eastAsia="仿宋_GB2312" w:cs="Times New Roman (正文 CS 字体)"/>
                <w:kern w:val="2"/>
                <w:szCs w:val="28"/>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创新水平</w:t>
            </w:r>
          </w:p>
        </w:tc>
        <w:tc>
          <w:tcPr>
            <w:tcW w:w="6946" w:type="dxa"/>
            <w:gridSpan w:val="4"/>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 xml:space="preserve">关键共性技术○  前沿引领技术○  现代工程技术○  </w:t>
            </w:r>
          </w:p>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颠覆性技术○ 其他○</w:t>
            </w:r>
          </w:p>
          <w:p>
            <w:pPr>
              <w:widowControl w:val="0"/>
              <w:overflowPunct/>
              <w:autoSpaceDE/>
              <w:autoSpaceDN/>
              <w:adjustRightInd/>
              <w:spacing w:line="580" w:lineRule="exact"/>
              <w:textAlignment w:val="auto"/>
              <w:rPr>
                <w:rFonts w:ascii="仿宋_GB2312" w:hAnsi="仿宋" w:eastAsia="仿宋_GB2312" w:cs="Times New Roman (正文 CS 字体)"/>
                <w:color w:val="0000FF"/>
                <w:kern w:val="2"/>
                <w:sz w:val="22"/>
                <w:szCs w:val="22"/>
              </w:rPr>
            </w:pPr>
            <w:r>
              <w:rPr>
                <w:rFonts w:hint="eastAsia" w:ascii="楷体_GB2312" w:hAnsi="仿宋" w:eastAsia="楷体_GB2312" w:cs="Times New Roman (正文 CS 字体)"/>
                <w:color w:val="0000FF"/>
                <w:kern w:val="2"/>
                <w:sz w:val="22"/>
                <w:szCs w:val="22"/>
                <w:u w:val="dotted"/>
              </w:rPr>
              <w:t>*关键共性技术：</w:t>
            </w:r>
            <w:r>
              <w:rPr>
                <w:rFonts w:hint="eastAsia" w:ascii="仿宋_GB2312" w:hAnsi="仿宋" w:eastAsia="仿宋_GB2312" w:cs="Times New Roman (正文 CS 字体)"/>
                <w:color w:val="0000FF"/>
                <w:kern w:val="2"/>
                <w:sz w:val="22"/>
                <w:szCs w:val="22"/>
              </w:rPr>
              <w:t>可与其他技术组合，在诸多产业领域广泛应用，能对一个产业或多个产业的技术进步产生深度影响的技术。</w:t>
            </w:r>
          </w:p>
          <w:p>
            <w:pPr>
              <w:widowControl w:val="0"/>
              <w:overflowPunct/>
              <w:autoSpaceDE/>
              <w:autoSpaceDN/>
              <w:adjustRightInd/>
              <w:spacing w:line="580" w:lineRule="exact"/>
              <w:textAlignment w:val="auto"/>
              <w:rPr>
                <w:rFonts w:ascii="仿宋_GB2312" w:hAnsi="仿宋" w:eastAsia="仿宋_GB2312" w:cs="Times New Roman (正文 CS 字体)"/>
                <w:color w:val="0000FF"/>
                <w:kern w:val="2"/>
                <w:sz w:val="22"/>
                <w:szCs w:val="22"/>
              </w:rPr>
            </w:pPr>
            <w:r>
              <w:rPr>
                <w:rFonts w:hint="eastAsia" w:ascii="楷体_GB2312" w:hAnsi="仿宋" w:eastAsia="楷体_GB2312" w:cs="Times New Roman (正文 CS 字体)"/>
                <w:color w:val="0000FF"/>
                <w:kern w:val="2"/>
                <w:sz w:val="22"/>
                <w:szCs w:val="22"/>
                <w:u w:val="dotted"/>
              </w:rPr>
              <w:t>*前沿引领技术：</w:t>
            </w:r>
            <w:r>
              <w:rPr>
                <w:rFonts w:hint="eastAsia" w:ascii="仿宋_GB2312" w:hAnsi="仿宋" w:eastAsia="仿宋_GB2312" w:cs="Times New Roman (正文 CS 字体)"/>
                <w:color w:val="0000FF"/>
                <w:kern w:val="2"/>
                <w:sz w:val="22"/>
                <w:szCs w:val="22"/>
              </w:rPr>
              <w:t>高技术领域中具有前瞻性、先导性和探索性的重大技术，是未来高技术更新换代和新兴产业发展的重要基础，是国家高技术创新能力的综合体现。</w:t>
            </w:r>
          </w:p>
          <w:p>
            <w:pPr>
              <w:widowControl w:val="0"/>
              <w:overflowPunct/>
              <w:autoSpaceDE/>
              <w:autoSpaceDN/>
              <w:adjustRightInd/>
              <w:spacing w:line="580" w:lineRule="exact"/>
              <w:textAlignment w:val="auto"/>
              <w:rPr>
                <w:rFonts w:ascii="仿宋_GB2312" w:hAnsi="仿宋" w:eastAsia="仿宋_GB2312" w:cs="Times New Roman (正文 CS 字体)"/>
                <w:color w:val="0000FF"/>
                <w:kern w:val="2"/>
                <w:sz w:val="22"/>
                <w:szCs w:val="22"/>
              </w:rPr>
            </w:pPr>
            <w:r>
              <w:rPr>
                <w:rFonts w:hint="eastAsia" w:ascii="楷体_GB2312" w:hAnsi="仿宋" w:eastAsia="楷体_GB2312" w:cs="Times New Roman (正文 CS 字体)"/>
                <w:color w:val="0000FF"/>
                <w:kern w:val="2"/>
                <w:sz w:val="22"/>
                <w:szCs w:val="22"/>
                <w:u w:val="dotted"/>
              </w:rPr>
              <w:t>*现代工程技术：</w:t>
            </w:r>
            <w:r>
              <w:rPr>
                <w:rFonts w:hint="eastAsia" w:ascii="仿宋_GB2312" w:hAnsi="仿宋" w:eastAsia="仿宋_GB2312" w:cs="Times New Roman (正文 CS 字体)"/>
                <w:color w:val="0000FF"/>
                <w:kern w:val="2"/>
                <w:sz w:val="22"/>
                <w:szCs w:val="22"/>
              </w:rPr>
              <w:t>将先进的科学知识与技术等应用于建筑工程管理，降低自然环境等因素对施工造成的影响，用最前沿的理论与技术指导工程管理的整个过程。</w:t>
            </w:r>
          </w:p>
          <w:p>
            <w:pPr>
              <w:widowControl w:val="0"/>
              <w:overflowPunct/>
              <w:autoSpaceDE/>
              <w:autoSpaceDN/>
              <w:adjustRightInd/>
              <w:spacing w:line="580" w:lineRule="exact"/>
              <w:textAlignment w:val="auto"/>
              <w:rPr>
                <w:rFonts w:ascii="仿宋_GB2312" w:hAnsi="仿宋" w:eastAsia="仿宋_GB2312" w:cs="Times New Roman (正文 CS 字体)"/>
                <w:color w:val="0000FF"/>
                <w:kern w:val="2"/>
                <w:sz w:val="22"/>
                <w:szCs w:val="22"/>
              </w:rPr>
            </w:pPr>
            <w:r>
              <w:rPr>
                <w:rFonts w:hint="eastAsia" w:ascii="楷体_GB2312" w:hAnsi="仿宋" w:eastAsia="楷体_GB2312" w:cs="Times New Roman (正文 CS 字体)"/>
                <w:color w:val="0000FF"/>
                <w:kern w:val="2"/>
                <w:sz w:val="22"/>
                <w:szCs w:val="22"/>
                <w:u w:val="dotted"/>
              </w:rPr>
              <w:t>*颠覆性技术：</w:t>
            </w:r>
            <w:r>
              <w:rPr>
                <w:rFonts w:hint="eastAsia" w:ascii="仿宋_GB2312" w:hAnsi="仿宋" w:eastAsia="仿宋_GB2312" w:cs="Times New Roman (正文 CS 字体)"/>
                <w:color w:val="0000FF"/>
                <w:kern w:val="2"/>
                <w:sz w:val="22"/>
                <w:szCs w:val="22"/>
              </w:rPr>
              <w:t>一种颠覆了某一行业主流产品和市场格局的技术。其他是指非以上创新类的技术，或无法判断的技术。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restart"/>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技术进度</w:t>
            </w:r>
          </w:p>
        </w:tc>
        <w:tc>
          <w:tcPr>
            <w:tcW w:w="2127" w:type="dxa"/>
            <w:gridSpan w:val="2"/>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新设备或新装置</w:t>
            </w:r>
          </w:p>
        </w:tc>
        <w:tc>
          <w:tcPr>
            <w:tcW w:w="4819" w:type="dxa"/>
            <w:gridSpan w:val="2"/>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原理样机○   工程样机○   中试原型机○   产业化○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kern w:val="2"/>
                <w:szCs w:val="28"/>
              </w:rPr>
            </w:pPr>
          </w:p>
        </w:tc>
        <w:tc>
          <w:tcPr>
            <w:tcW w:w="2127" w:type="dxa"/>
            <w:gridSpan w:val="2"/>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新材料或新技术</w:t>
            </w:r>
          </w:p>
        </w:tc>
        <w:tc>
          <w:tcPr>
            <w:tcW w:w="4819" w:type="dxa"/>
            <w:gridSpan w:val="2"/>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kern w:val="2"/>
                <w:szCs w:val="28"/>
              </w:rPr>
            </w:pPr>
            <w:r>
              <w:rPr>
                <w:rFonts w:hint="eastAsia" w:ascii="仿宋_GB2312" w:hAnsi="微软雅黑 Light" w:eastAsia="仿宋_GB2312" w:cs="Times New Roman (正文 CS 字体)"/>
                <w:kern w:val="2"/>
                <w:szCs w:val="28"/>
              </w:rPr>
              <w:t>实验室阶段○      工程化阶段○       产业化阶段○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127" w:type="dxa"/>
            <w:vMerge w:val="restart"/>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技术成果</w:t>
            </w:r>
          </w:p>
        </w:tc>
        <w:tc>
          <w:tcPr>
            <w:tcW w:w="2127" w:type="dxa"/>
            <w:gridSpan w:val="2"/>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国际专利□    国家专利□</w:t>
            </w:r>
          </w:p>
        </w:tc>
        <w:tc>
          <w:tcPr>
            <w:tcW w:w="992"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专利编号</w:t>
            </w:r>
          </w:p>
        </w:tc>
        <w:tc>
          <w:tcPr>
            <w:tcW w:w="3827"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127" w:type="dxa"/>
            <w:vMerge w:val="continue"/>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p>
        </w:tc>
        <w:tc>
          <w:tcPr>
            <w:tcW w:w="2127" w:type="dxa"/>
            <w:gridSpan w:val="2"/>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国际奖项□    国家奖项□</w:t>
            </w:r>
          </w:p>
        </w:tc>
        <w:tc>
          <w:tcPr>
            <w:tcW w:w="992"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奖项名称</w:t>
            </w:r>
          </w:p>
        </w:tc>
        <w:tc>
          <w:tcPr>
            <w:tcW w:w="3827"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产品方向</w:t>
            </w:r>
          </w:p>
        </w:tc>
        <w:tc>
          <w:tcPr>
            <w:tcW w:w="6946" w:type="dxa"/>
            <w:gridSpan w:val="4"/>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 xml:space="preserve">有多个应用方向○    有一个应用方向○    </w:t>
            </w:r>
          </w:p>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没有应用方向○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市场空间</w:t>
            </w:r>
          </w:p>
        </w:tc>
        <w:tc>
          <w:tcPr>
            <w:tcW w:w="6946" w:type="dxa"/>
            <w:gridSpan w:val="4"/>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 xml:space="preserve">需求前景巨大○     需求前景较大○     </w:t>
            </w:r>
          </w:p>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需求前景一般○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成本竞争</w:t>
            </w:r>
          </w:p>
        </w:tc>
        <w:tc>
          <w:tcPr>
            <w:tcW w:w="6946" w:type="dxa"/>
            <w:gridSpan w:val="4"/>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优势明显○</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优势一般○</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没有优势○</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政策影响</w:t>
            </w:r>
          </w:p>
        </w:tc>
        <w:tc>
          <w:tcPr>
            <w:tcW w:w="6946" w:type="dxa"/>
            <w:gridSpan w:val="4"/>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政策鼓励○</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政策限制○</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政策淘汰○</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市场周期</w:t>
            </w:r>
          </w:p>
        </w:tc>
        <w:tc>
          <w:tcPr>
            <w:tcW w:w="6946" w:type="dxa"/>
            <w:gridSpan w:val="4"/>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进入期○</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成长期○</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饱和期○</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衰退期○</w:t>
            </w:r>
            <w:r>
              <w:rPr>
                <w:rFonts w:ascii="仿宋_GB2312" w:hAnsi="微软雅黑 Light" w:eastAsia="仿宋_GB2312" w:cs="Times New Roman (正文 CS 字体)"/>
                <w:color w:val="000000"/>
                <w:kern w:val="2"/>
                <w:szCs w:val="28"/>
              </w:rPr>
              <w:t xml:space="preserve">  </w:t>
            </w:r>
            <w:r>
              <w:rPr>
                <w:rFonts w:hint="eastAsia" w:ascii="仿宋_GB2312" w:hAnsi="微软雅黑 Light" w:eastAsia="仿宋_GB2312" w:cs="Times New Roman (正文 CS 字体)"/>
                <w:color w:val="000000"/>
                <w:kern w:val="2"/>
                <w:szCs w:val="28"/>
              </w:rPr>
              <w:t>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转化周期</w:t>
            </w:r>
          </w:p>
        </w:tc>
        <w:tc>
          <w:tcPr>
            <w:tcW w:w="6946" w:type="dxa"/>
            <w:gridSpan w:val="4"/>
            <w:vAlign w:val="center"/>
          </w:tcPr>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 xml:space="preserve">近期可控(1年内)○  周期较长(2年内)○  </w:t>
            </w:r>
          </w:p>
          <w:p>
            <w:pPr>
              <w:widowControl w:val="0"/>
              <w:overflowPunct/>
              <w:autoSpaceDE/>
              <w:autoSpaceDN/>
              <w:adjustRightInd/>
              <w:spacing w:line="276" w:lineRule="auto"/>
              <w:jc w:val="center"/>
              <w:textAlignment w:val="auto"/>
              <w:rPr>
                <w:rFonts w:ascii="仿宋_GB2312" w:hAnsi="微软雅黑 Light" w:eastAsia="仿宋_GB2312" w:cs="Times New Roman (正文 CS 字体)"/>
                <w:color w:val="000000"/>
                <w:kern w:val="2"/>
                <w:szCs w:val="28"/>
              </w:rPr>
            </w:pPr>
            <w:r>
              <w:rPr>
                <w:rFonts w:hint="eastAsia" w:ascii="仿宋_GB2312" w:hAnsi="微软雅黑 Light" w:eastAsia="仿宋_GB2312" w:cs="Times New Roman (正文 CS 字体)"/>
                <w:color w:val="000000"/>
                <w:kern w:val="2"/>
                <w:szCs w:val="28"/>
              </w:rPr>
              <w:t>很难转化(3年起)○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3" w:type="dxa"/>
            <w:gridSpan w:val="5"/>
            <w:vAlign w:val="center"/>
          </w:tcPr>
          <w:p>
            <w:pPr>
              <w:widowControl w:val="0"/>
              <w:overflowPunct/>
              <w:autoSpaceDE/>
              <w:autoSpaceDN/>
              <w:adjustRightInd/>
              <w:jc w:val="center"/>
              <w:textAlignment w:val="auto"/>
              <w:rPr>
                <w:rFonts w:ascii="仿宋_GB2312" w:hAnsi="微软雅黑 Light" w:eastAsia="仿宋_GB2312" w:cs="Times New Roman (正文 CS 字体)"/>
                <w:kern w:val="2"/>
                <w:sz w:val="32"/>
                <w:szCs w:val="32"/>
              </w:rPr>
            </w:pPr>
            <w:r>
              <w:rPr>
                <w:rFonts w:hint="eastAsia" w:ascii="仿宋_GB2312" w:hAnsi="微软雅黑 Light" w:eastAsia="仿宋_GB2312" w:cs="Times New Roman (正文 CS 字体)"/>
                <w:b/>
                <w:bCs/>
                <w:kern w:val="2"/>
                <w:sz w:val="32"/>
                <w:szCs w:val="32"/>
              </w:rPr>
              <w:t>成果团队概括（不少于150字）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3" w:type="dxa"/>
            <w:gridSpan w:val="5"/>
            <w:vAlign w:val="center"/>
          </w:tcPr>
          <w:p>
            <w:pPr>
              <w:widowControl w:val="0"/>
              <w:overflowPunct/>
              <w:autoSpaceDE/>
              <w:autoSpaceDN/>
              <w:adjustRightInd/>
              <w:jc w:val="center"/>
              <w:textAlignment w:val="auto"/>
              <w:rPr>
                <w:rFonts w:ascii="仿宋_GB2312" w:hAnsi="微软雅黑 Light" w:eastAsia="仿宋_GB2312" w:cs="Times New Roman (正文 CS 字体)"/>
                <w:b/>
                <w:bCs/>
                <w:kern w:val="2"/>
                <w:sz w:val="32"/>
                <w:szCs w:val="32"/>
              </w:rPr>
            </w:pPr>
            <w:r>
              <w:rPr>
                <w:rFonts w:hint="eastAsia" w:ascii="仿宋_GB2312" w:hAnsi="仿宋_GB2312" w:eastAsia="仿宋_GB2312" w:cs="Times New Roman (正文 CS 字体)"/>
                <w:color w:val="7E7E7E"/>
                <w:kern w:val="2"/>
                <w:szCs w:val="28"/>
              </w:rPr>
              <w:t>按照解决该项成果技术问题所作贡献大小排序，介绍内容包括不限于姓名、职称、领域地位、研发业绩、团队分工等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3" w:type="dxa"/>
            <w:gridSpan w:val="5"/>
            <w:vAlign w:val="center"/>
          </w:tcPr>
          <w:p>
            <w:pPr>
              <w:widowControl w:val="0"/>
              <w:overflowPunct/>
              <w:autoSpaceDE/>
              <w:autoSpaceDN/>
              <w:adjustRightInd/>
              <w:jc w:val="center"/>
              <w:textAlignment w:val="auto"/>
              <w:rPr>
                <w:rFonts w:ascii="仿宋_GB2312" w:hAnsi="微软雅黑 Light" w:eastAsia="仿宋_GB2312" w:cs="Times New Roman (正文 CS 字体)"/>
                <w:b/>
                <w:bCs/>
                <w:kern w:val="2"/>
                <w:sz w:val="32"/>
                <w:szCs w:val="32"/>
              </w:rPr>
            </w:pPr>
            <w:r>
              <w:rPr>
                <w:rFonts w:hint="eastAsia" w:ascii="仿宋_GB2312" w:hAnsi="微软雅黑 Light" w:eastAsia="仿宋_GB2312" w:cs="Times New Roman (正文 CS 字体)"/>
                <w:b/>
                <w:bCs/>
                <w:kern w:val="2"/>
                <w:sz w:val="32"/>
                <w:szCs w:val="32"/>
              </w:rPr>
              <w:t>科技成果的创新基因（不少于150字）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8" w:hRule="atLeast"/>
        </w:trPr>
        <w:tc>
          <w:tcPr>
            <w:tcW w:w="9073" w:type="dxa"/>
            <w:gridSpan w:val="5"/>
          </w:tcPr>
          <w:p>
            <w:pPr>
              <w:widowControl w:val="0"/>
              <w:overflowPunct/>
              <w:autoSpaceDE/>
              <w:autoSpaceDN/>
              <w:adjustRightInd/>
              <w:ind w:firstLine="560" w:firstLineChars="200"/>
              <w:textAlignment w:val="auto"/>
              <w:rPr>
                <w:rFonts w:ascii="仿宋_GB2312" w:hAnsi="仿宋_GB2312" w:eastAsia="仿宋_GB2312" w:cs="Times New Roman (正文 CS 字体)"/>
                <w:color w:val="7E7E7E"/>
                <w:kern w:val="2"/>
                <w:szCs w:val="28"/>
              </w:rPr>
            </w:pPr>
            <w:r>
              <w:rPr>
                <w:rFonts w:hint="eastAsia" w:ascii="仿宋_GB2312" w:hAnsi="仿宋_GB2312" w:eastAsia="仿宋_GB2312" w:cs="Times New Roman (正文 CS 字体)"/>
                <w:color w:val="7E7E7E"/>
                <w:kern w:val="2"/>
                <w:szCs w:val="28"/>
              </w:rPr>
              <w:t>主要从技术研发团队和技术创新水平两个方面进行说明：可从技术带头人的资历背景、领域地位、研发业绩和领军经验方面，以及研发团队规模、团队背景、团队经验、团队分工明确程度和团队配合状态等方面阐述。再从科技成果创新水平、创新进度、创新优势等方面阐述。</w:t>
            </w:r>
          </w:p>
          <w:p>
            <w:pPr>
              <w:widowControl w:val="0"/>
              <w:overflowPunct/>
              <w:autoSpaceDE/>
              <w:autoSpaceDN/>
              <w:adjustRightInd/>
              <w:ind w:firstLine="560" w:firstLineChars="200"/>
              <w:textAlignment w:val="auto"/>
              <w:rPr>
                <w:rFonts w:ascii="仿宋_GB2312" w:hAnsi="仿宋_GB2312" w:eastAsia="仿宋_GB2312" w:cs="Times New Roman (正文 CS 字体)"/>
                <w:color w:val="7E7E7E"/>
                <w:kern w:val="2"/>
                <w:szCs w:val="28"/>
              </w:rPr>
            </w:pPr>
            <w:r>
              <w:rPr>
                <w:rFonts w:hint="eastAsia" w:ascii="仿宋_GB2312" w:hAnsi="仿宋_GB2312" w:eastAsia="仿宋_GB2312" w:cs="Times New Roman (正文 CS 字体)"/>
                <w:color w:val="7E7E7E"/>
                <w:kern w:val="2"/>
                <w:szCs w:val="28"/>
              </w:rPr>
              <w:t>示例：该科技成果领头人具有教授职称，已发表相关国际论文**篇，获得**项奖项，属于**人才；研发团队人数5人，高级人员占比50%以上，经验丰富，分工明确。</w:t>
            </w:r>
          </w:p>
          <w:p>
            <w:pPr>
              <w:widowControl w:val="0"/>
              <w:overflowPunct/>
              <w:autoSpaceDE/>
              <w:autoSpaceDN/>
              <w:adjustRightInd/>
              <w:ind w:firstLine="560" w:firstLineChars="200"/>
              <w:textAlignment w:val="auto"/>
              <w:rPr>
                <w:rFonts w:ascii="仿宋_GB2312" w:hAnsi="仿宋_GB2312" w:eastAsia="仿宋_GB2312" w:cs="Times New Roman (正文 CS 字体)"/>
                <w:color w:val="7E7E7E"/>
                <w:kern w:val="2"/>
                <w:szCs w:val="28"/>
              </w:rPr>
            </w:pPr>
            <w:r>
              <w:rPr>
                <w:rFonts w:hint="eastAsia" w:ascii="仿宋_GB2312" w:hAnsi="仿宋_GB2312" w:eastAsia="仿宋_GB2312" w:cs="Times New Roman (正文 CS 字体)"/>
                <w:color w:val="7E7E7E"/>
                <w:kern w:val="2"/>
                <w:szCs w:val="28"/>
              </w:rPr>
              <w:t>该项成果属于引进消化吸收再创新设计，项目投入时间短，投入资金量小，但在产品化商业化方面已经实现规模销售。</w:t>
            </w:r>
          </w:p>
          <w:p>
            <w:pPr>
              <w:widowControl w:val="0"/>
              <w:overflowPunct/>
              <w:autoSpaceDE/>
              <w:autoSpaceDN/>
              <w:adjustRightInd/>
              <w:ind w:firstLine="560" w:firstLineChars="200"/>
              <w:textAlignment w:val="auto"/>
              <w:rPr>
                <w:rFonts w:ascii="仿宋_GB2312" w:hAnsi="仿宋_GB2312" w:eastAsia="仿宋_GB2312" w:cs="Times New Roman (正文 CS 字体)"/>
                <w:kern w:val="2"/>
                <w:szCs w:val="28"/>
              </w:rPr>
            </w:pPr>
            <w:r>
              <w:rPr>
                <w:rFonts w:hint="eastAsia" w:ascii="仿宋_GB2312" w:hAnsi="仿宋_GB2312" w:eastAsia="仿宋_GB2312" w:cs="Times New Roman (正文 CS 字体)"/>
                <w:color w:val="7E7E7E"/>
                <w:kern w:val="2"/>
                <w:szCs w:val="28"/>
              </w:rPr>
              <w:t>该成果产品化商业化的材料采购成本与生产成本均可控，但因技术含量一般，所以与同类产品相比竞争优势一般。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3" w:type="dxa"/>
            <w:gridSpan w:val="5"/>
            <w:vAlign w:val="center"/>
          </w:tcPr>
          <w:p>
            <w:pPr>
              <w:widowControl w:val="0"/>
              <w:overflowPunct/>
              <w:autoSpaceDE/>
              <w:autoSpaceDN/>
              <w:adjustRightInd/>
              <w:jc w:val="center"/>
              <w:textAlignment w:val="auto"/>
              <w:rPr>
                <w:rFonts w:ascii="仿宋_GB2312" w:hAnsi="微软雅黑 Light" w:eastAsia="仿宋_GB2312" w:cs="Times New Roman (正文 CS 字体)"/>
                <w:b/>
                <w:bCs/>
                <w:kern w:val="2"/>
                <w:sz w:val="32"/>
                <w:szCs w:val="32"/>
              </w:rPr>
            </w:pPr>
            <w:r>
              <w:rPr>
                <w:rFonts w:hint="eastAsia" w:ascii="仿宋_GB2312" w:hAnsi="微软雅黑 Light" w:eastAsia="仿宋_GB2312" w:cs="Times New Roman (正文 CS 字体)"/>
                <w:b/>
                <w:bCs/>
                <w:kern w:val="2"/>
                <w:sz w:val="32"/>
                <w:szCs w:val="32"/>
              </w:rPr>
              <w:t>科技成果的技术亮点（不少于150字）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9073" w:type="dxa"/>
            <w:gridSpan w:val="5"/>
          </w:tcPr>
          <w:p>
            <w:pPr>
              <w:widowControl w:val="0"/>
              <w:overflowPunct/>
              <w:autoSpaceDE/>
              <w:autoSpaceDN/>
              <w:adjustRightInd/>
              <w:ind w:firstLine="560" w:firstLineChars="200"/>
              <w:textAlignment w:val="auto"/>
              <w:rPr>
                <w:rFonts w:ascii="仿宋_GB2312" w:hAnsi="仿宋_GB2312" w:eastAsia="仿宋_GB2312" w:cs="Times New Roman (正文 CS 字体)"/>
                <w:color w:val="7E7E7E"/>
                <w:kern w:val="2"/>
                <w:szCs w:val="28"/>
              </w:rPr>
            </w:pPr>
            <w:r>
              <w:rPr>
                <w:rFonts w:hint="eastAsia" w:ascii="仿宋_GB2312" w:hAnsi="仿宋_GB2312" w:eastAsia="仿宋_GB2312" w:cs="Times New Roman (正文 CS 字体)"/>
                <w:color w:val="7E7E7E"/>
                <w:kern w:val="2"/>
                <w:szCs w:val="28"/>
              </w:rPr>
              <w:t>主要从科技成果的技术方案、技术优势、产品化、产业化建议等方面进行阐述。</w:t>
            </w:r>
          </w:p>
          <w:p>
            <w:pPr>
              <w:widowControl w:val="0"/>
              <w:overflowPunct/>
              <w:autoSpaceDE/>
              <w:autoSpaceDN/>
              <w:adjustRightInd/>
              <w:ind w:firstLine="560" w:firstLineChars="200"/>
              <w:textAlignment w:val="auto"/>
              <w:rPr>
                <w:rFonts w:ascii="仿宋_GB2312" w:hAnsi="仿宋_GB2312" w:eastAsia="仿宋_GB2312" w:cs="Times New Roman (正文 CS 字体)"/>
                <w:color w:val="7E7E7E"/>
                <w:kern w:val="2"/>
                <w:szCs w:val="28"/>
              </w:rPr>
            </w:pPr>
            <w:r>
              <w:rPr>
                <w:rFonts w:hint="eastAsia" w:ascii="仿宋_GB2312" w:hAnsi="仿宋_GB2312" w:eastAsia="仿宋_GB2312" w:cs="Times New Roman (正文 CS 字体)"/>
                <w:color w:val="7E7E7E"/>
                <w:kern w:val="2"/>
                <w:szCs w:val="28"/>
              </w:rPr>
              <w:t>示例：成果通过侧向挤压斜面连续推进振动出矿崩落法以及阶段空场嗣后充填连续采矿法，进行了高浓度全尾砂胶结充填研究，创新了充填料浆贮存、制备与输送等相关的设施与设备，在微震监测与岩爆预报、回采地压控制、大面积空区失稳安全分析等方面有所建树。经过新型硬岩支护方式进行有益的探索，研制了水压支柱并应用于缓倾斜薄矿脉分条连续开采中。通过大力推广连续出矿技术，成功研制的复合型金属橡胶弹性系统的新型振动出矿、运矿设备，国际领先。</w:t>
            </w:r>
          </w:p>
          <w:p>
            <w:pPr>
              <w:widowControl w:val="0"/>
              <w:overflowPunct/>
              <w:autoSpaceDE/>
              <w:autoSpaceDN/>
              <w:adjustRightInd/>
              <w:ind w:firstLine="560" w:firstLineChars="200"/>
              <w:textAlignment w:val="auto"/>
              <w:rPr>
                <w:rFonts w:ascii="仿宋_GB2312" w:hAnsi="仿宋_GB2312" w:eastAsia="仿宋_GB2312" w:cs="Times New Roman (正文 CS 字体)"/>
                <w:kern w:val="2"/>
                <w:szCs w:val="28"/>
              </w:rPr>
            </w:pPr>
            <w:r>
              <w:rPr>
                <w:rFonts w:hint="eastAsia" w:ascii="仿宋_GB2312" w:hAnsi="仿宋_GB2312" w:eastAsia="仿宋_GB2312" w:cs="Times New Roman (正文 CS 字体)"/>
                <w:color w:val="7E7E7E"/>
                <w:kern w:val="2"/>
                <w:szCs w:val="28"/>
              </w:rPr>
              <w:t>该技术的最大优势是变传统的二步骤开采为一步骤，可实现井下采矿作业的合理集中，提高回采强度和井下工人劳动生产率，实现***经济指标，达到***效益。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073" w:type="dxa"/>
            <w:gridSpan w:val="5"/>
            <w:vAlign w:val="center"/>
          </w:tcPr>
          <w:p>
            <w:pPr>
              <w:widowControl w:val="0"/>
              <w:overflowPunct/>
              <w:autoSpaceDE/>
              <w:autoSpaceDN/>
              <w:adjustRightInd/>
              <w:jc w:val="center"/>
              <w:textAlignment w:val="auto"/>
              <w:rPr>
                <w:rFonts w:ascii="仿宋_GB2312" w:hAnsi="微软雅黑 Light" w:eastAsia="仿宋_GB2312" w:cs="Times New Roman (正文 CS 字体)"/>
                <w:b/>
                <w:bCs/>
                <w:kern w:val="2"/>
                <w:sz w:val="32"/>
                <w:szCs w:val="32"/>
              </w:rPr>
            </w:pPr>
            <w:r>
              <w:rPr>
                <w:rFonts w:hint="eastAsia" w:ascii="仿宋_GB2312" w:hAnsi="微软雅黑 Light" w:eastAsia="仿宋_GB2312" w:cs="Times New Roman (正文 CS 字体)"/>
                <w:b/>
                <w:bCs/>
                <w:kern w:val="2"/>
                <w:sz w:val="32"/>
                <w:szCs w:val="32"/>
              </w:rPr>
              <w:t>产生的效益（不少于150字）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073" w:type="dxa"/>
            <w:gridSpan w:val="5"/>
            <w:vAlign w:val="center"/>
          </w:tcPr>
          <w:p>
            <w:pPr>
              <w:widowControl w:val="0"/>
              <w:overflowPunct/>
              <w:autoSpaceDE/>
              <w:autoSpaceDN/>
              <w:adjustRightInd/>
              <w:jc w:val="center"/>
              <w:textAlignment w:val="auto"/>
              <w:rPr>
                <w:rFonts w:ascii="仿宋_GB2312" w:hAnsi="微软雅黑 Light" w:eastAsia="仿宋_GB2312" w:cs="Times New Roman (正文 CS 字体)"/>
                <w:b/>
                <w:bCs/>
                <w:kern w:val="2"/>
                <w:sz w:val="32"/>
                <w:szCs w:val="32"/>
              </w:rPr>
            </w:pPr>
            <w:r>
              <w:rPr>
                <w:rFonts w:hint="eastAsia" w:ascii="仿宋_GB2312" w:hAnsi="仿宋_GB2312" w:eastAsia="仿宋_GB2312" w:cs="Times New Roman (正文 CS 字体)"/>
                <w:color w:val="7E7E7E"/>
                <w:kern w:val="2"/>
                <w:szCs w:val="28"/>
              </w:rPr>
              <w:t>为了研发该成果所投入的各类经费，已经取得的收益，针对尚需完善的技术，预期需要再投入经费的金额、时间等。成果在推动科学技术进步，保护自然资源或生态环境；保障国家和社会安全；改善人民物质、文化、生活及健康水平等方面所起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073" w:type="dxa"/>
            <w:gridSpan w:val="5"/>
            <w:vAlign w:val="center"/>
          </w:tcPr>
          <w:p>
            <w:pPr>
              <w:widowControl w:val="0"/>
              <w:overflowPunct/>
              <w:autoSpaceDE/>
              <w:autoSpaceDN/>
              <w:adjustRightInd/>
              <w:jc w:val="center"/>
              <w:textAlignment w:val="auto"/>
              <w:rPr>
                <w:rFonts w:ascii="仿宋_GB2312" w:hAnsi="Calibri" w:eastAsia="仿宋_GB2312" w:cs="Times New Roman (正文 CS 字体)"/>
                <w:b/>
                <w:bCs/>
                <w:color w:val="AEAAAA"/>
                <w:sz w:val="32"/>
                <w:szCs w:val="32"/>
              </w:rPr>
            </w:pPr>
            <w:r>
              <w:rPr>
                <w:rFonts w:hint="eastAsia" w:ascii="仿宋_GB2312" w:hAnsi="微软雅黑 Light" w:eastAsia="仿宋_GB2312" w:cs="Times New Roman (正文 CS 字体)"/>
                <w:b/>
                <w:bCs/>
                <w:kern w:val="2"/>
                <w:sz w:val="32"/>
                <w:szCs w:val="32"/>
              </w:rPr>
              <w:t>转化方式（不少于150字）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073" w:type="dxa"/>
            <w:gridSpan w:val="5"/>
            <w:vAlign w:val="center"/>
          </w:tcPr>
          <w:p>
            <w:pPr>
              <w:widowControl w:val="0"/>
              <w:overflowPunct/>
              <w:autoSpaceDE/>
              <w:autoSpaceDN/>
              <w:adjustRightInd/>
              <w:jc w:val="center"/>
              <w:textAlignment w:val="auto"/>
              <w:rPr>
                <w:rFonts w:ascii="仿宋_GB2312" w:hAnsi="Calibri" w:eastAsia="仿宋_GB2312" w:cs="Times New Roman (正文 CS 字体)"/>
                <w:sz w:val="32"/>
                <w:szCs w:val="32"/>
              </w:rPr>
            </w:pPr>
            <w:r>
              <w:rPr>
                <w:rFonts w:hint="eastAsia" w:ascii="仿宋_GB2312" w:hAnsi="仿宋_GB2312" w:eastAsia="仿宋_GB2312" w:cs="Times New Roman (正文 CS 字体)"/>
                <w:color w:val="7E7E7E"/>
                <w:kern w:val="2"/>
                <w:szCs w:val="28"/>
              </w:rPr>
              <w:t>阐述技术转让，技术入股，技术合作，资金需求，以及对成果转化方向、目标的希望和要求等。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073" w:type="dxa"/>
            <w:gridSpan w:val="5"/>
            <w:vAlign w:val="center"/>
          </w:tcPr>
          <w:p>
            <w:pPr>
              <w:widowControl w:val="0"/>
              <w:overflowPunct/>
              <w:autoSpaceDE/>
              <w:autoSpaceDN/>
              <w:adjustRightInd/>
              <w:jc w:val="center"/>
              <w:textAlignment w:val="auto"/>
              <w:rPr>
                <w:rFonts w:ascii="仿宋_GB2312" w:hAnsi="微软雅黑 Light" w:eastAsia="仿宋_GB2312" w:cs="Times New Roman (正文 CS 字体)"/>
                <w:b/>
                <w:bCs/>
                <w:kern w:val="2"/>
                <w:sz w:val="32"/>
                <w:szCs w:val="32"/>
              </w:rPr>
            </w:pPr>
            <w:r>
              <w:rPr>
                <w:rFonts w:hint="eastAsia" w:ascii="仿宋_GB2312" w:hAnsi="微软雅黑 Light" w:eastAsia="仿宋_GB2312" w:cs="Times New Roman (正文 CS 字体)"/>
                <w:b/>
                <w:bCs/>
                <w:kern w:val="2"/>
                <w:sz w:val="32"/>
                <w:szCs w:val="32"/>
              </w:rPr>
              <w:t>科技成果的应用市场前景（不少于150字）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8" w:hRule="atLeast"/>
        </w:trPr>
        <w:tc>
          <w:tcPr>
            <w:tcW w:w="9073" w:type="dxa"/>
            <w:gridSpan w:val="5"/>
            <w:tcBorders>
              <w:bottom w:val="single" w:color="auto" w:sz="4" w:space="0"/>
            </w:tcBorders>
          </w:tcPr>
          <w:p>
            <w:pPr>
              <w:widowControl w:val="0"/>
              <w:overflowPunct/>
              <w:autoSpaceDE/>
              <w:autoSpaceDN/>
              <w:adjustRightInd/>
              <w:ind w:firstLine="560" w:firstLineChars="200"/>
              <w:textAlignment w:val="auto"/>
              <w:rPr>
                <w:rFonts w:ascii="仿宋_GB2312" w:hAnsi="仿宋_GB2312" w:eastAsia="仿宋_GB2312" w:cs="Times New Roman (正文 CS 字体)"/>
                <w:color w:val="7E7E7E"/>
                <w:kern w:val="2"/>
                <w:szCs w:val="28"/>
              </w:rPr>
            </w:pPr>
            <w:r>
              <w:rPr>
                <w:rFonts w:hint="eastAsia" w:ascii="仿宋_GB2312" w:hAnsi="仿宋_GB2312" w:eastAsia="仿宋_GB2312" w:cs="Times New Roman (正文 CS 字体)"/>
                <w:color w:val="7E7E7E"/>
                <w:kern w:val="2"/>
                <w:szCs w:val="28"/>
              </w:rPr>
              <w:t>主要从应用前景、推广优势、转化目标市场、资本化建议等方面进行阐述。</w:t>
            </w:r>
          </w:p>
          <w:p>
            <w:pPr>
              <w:widowControl w:val="0"/>
              <w:overflowPunct/>
              <w:autoSpaceDE/>
              <w:autoSpaceDN/>
              <w:adjustRightInd/>
              <w:ind w:firstLine="480"/>
              <w:textAlignment w:val="auto"/>
              <w:rPr>
                <w:rFonts w:ascii="仿宋_GB2312" w:hAnsi="仿宋_GB2312" w:eastAsia="仿宋_GB2312" w:cs="Times New Roman (正文 CS 字体)"/>
                <w:color w:val="7E7E7E"/>
                <w:kern w:val="2"/>
                <w:szCs w:val="28"/>
              </w:rPr>
            </w:pPr>
            <w:r>
              <w:rPr>
                <w:rFonts w:hint="eastAsia" w:ascii="仿宋_GB2312" w:hAnsi="仿宋_GB2312" w:eastAsia="仿宋_GB2312" w:cs="Times New Roman (正文 CS 字体)"/>
                <w:color w:val="7E7E7E"/>
                <w:kern w:val="2"/>
                <w:szCs w:val="28"/>
              </w:rPr>
              <w:t>示例：该成果的技术覆盖面广，可应用于有色、冶金、化工、建材等部门。与国外相比，我国地下金属矿生产规模相当国外类似矿山的1/8, 工人劳动生产率是国外的1/20,资源综合利用率比国外低20%，市场竞争力低下。运用该项科研成果可提高矿山开采规模，大大降低工人出矿作业的劳动强度，改善了作业环境，提高了资源回收率，安全性好，应用前景广阔。建议向***省/市/区推广，可重点关注**企业。</w:t>
            </w:r>
          </w:p>
          <w:p>
            <w:pPr>
              <w:widowControl w:val="0"/>
              <w:overflowPunct/>
              <w:autoSpaceDE/>
              <w:autoSpaceDN/>
              <w:adjustRightInd/>
              <w:ind w:firstLine="480"/>
              <w:textAlignment w:val="auto"/>
              <w:rPr>
                <w:rFonts w:ascii="仿宋_GB2312" w:hAnsi="仿宋_GB2312" w:eastAsia="仿宋_GB2312" w:cs="Times New Roman (正文 CS 字体)"/>
                <w:color w:val="7E7E7E"/>
                <w:kern w:val="2"/>
                <w:szCs w:val="28"/>
              </w:rPr>
            </w:pPr>
          </w:p>
          <w:p>
            <w:pPr>
              <w:widowControl w:val="0"/>
              <w:overflowPunct/>
              <w:autoSpaceDE/>
              <w:autoSpaceDN/>
              <w:adjustRightInd/>
              <w:ind w:firstLine="480"/>
              <w:textAlignment w:val="auto"/>
              <w:rPr>
                <w:rFonts w:ascii="仿宋_GB2312" w:hAnsi="仿宋_GB2312" w:eastAsia="仿宋_GB2312" w:cs="Times New Roman (正文 CS 字体)"/>
                <w:kern w:val="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073" w:type="dxa"/>
            <w:gridSpan w:val="5"/>
            <w:tcBorders>
              <w:bottom w:val="nil"/>
            </w:tcBorders>
          </w:tcPr>
          <w:p>
            <w:pPr>
              <w:widowControl w:val="0"/>
              <w:overflowPunct/>
              <w:autoSpaceDE/>
              <w:autoSpaceDN/>
              <w:adjustRightInd/>
              <w:jc w:val="center"/>
              <w:textAlignment w:val="auto"/>
              <w:rPr>
                <w:rFonts w:ascii="仿宋_GB2312" w:hAnsi="微软雅黑 Light" w:eastAsia="仿宋_GB2312" w:cs="Times New Roman (正文 CS 字体)"/>
                <w:b/>
                <w:bCs/>
                <w:kern w:val="2"/>
                <w:sz w:val="32"/>
                <w:szCs w:val="32"/>
              </w:rPr>
            </w:pPr>
            <w:r>
              <w:rPr>
                <w:rFonts w:hint="eastAsia" w:ascii="仿宋_GB2312" w:hAnsi="微软雅黑 Light" w:eastAsia="仿宋_GB2312" w:cs="Times New Roman (正文 CS 字体)"/>
                <w:b/>
                <w:bCs/>
                <w:kern w:val="2"/>
                <w:sz w:val="32"/>
                <w:szCs w:val="32"/>
              </w:rPr>
              <w:t>科技成果推荐综合自评（不少于200字）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3" w:hRule="atLeast"/>
        </w:trPr>
        <w:tc>
          <w:tcPr>
            <w:tcW w:w="9073" w:type="dxa"/>
            <w:gridSpan w:val="5"/>
            <w:tcBorders>
              <w:top w:val="single" w:color="auto" w:sz="4" w:space="0"/>
            </w:tcBorders>
          </w:tcPr>
          <w:p>
            <w:pPr>
              <w:widowControl w:val="0"/>
              <w:overflowPunct/>
              <w:autoSpaceDE/>
              <w:autoSpaceDN/>
              <w:adjustRightInd/>
              <w:ind w:firstLine="560" w:firstLineChars="200"/>
              <w:textAlignment w:val="auto"/>
              <w:rPr>
                <w:rFonts w:ascii="仿宋_GB2312" w:hAnsi="仿宋_GB2312" w:eastAsia="仿宋_GB2312" w:cs="Times New Roman (正文 CS 字体)"/>
                <w:color w:val="7E7E7E"/>
                <w:kern w:val="2"/>
                <w:szCs w:val="28"/>
              </w:rPr>
            </w:pPr>
            <w:r>
              <w:rPr>
                <w:rFonts w:hint="eastAsia" w:ascii="仿宋_GB2312" w:hAnsi="仿宋_GB2312" w:eastAsia="仿宋_GB2312" w:cs="Times New Roman (正文 CS 字体)"/>
                <w:color w:val="7E7E7E"/>
                <w:kern w:val="2"/>
                <w:szCs w:val="28"/>
              </w:rPr>
              <w:t>从科技创新性、经济效益、社会效益等方面进行综合评价。</w:t>
            </w:r>
          </w:p>
        </w:tc>
      </w:tr>
    </w:tbl>
    <w:p>
      <w:pPr>
        <w:rPr>
          <w:rFonts w:ascii="方正小标宋_GBK" w:hAnsi="方正小标宋_GBK" w:eastAsia="方正小标宋_GBK" w:cs="方正小标宋_GBK"/>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DF92BC-CE11-4D53-B050-275DC3ABF85B}"/>
  </w:font>
  <w:font w:name="Arial">
    <w:panose1 w:val="020B0604020202020204"/>
    <w:charset w:val="01"/>
    <w:family w:val="swiss"/>
    <w:pitch w:val="default"/>
    <w:sig w:usb0="E0002EFF" w:usb1="C000785B" w:usb2="00000009" w:usb3="00000000" w:csb0="400001FF" w:csb1="FFFF0000"/>
    <w:embedRegular r:id="rId2" w:fontKey="{4C40BB16-9144-408F-B407-0C69B6F456E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ED69251-EAFC-453C-964A-4502BA6DE12E}"/>
  </w:font>
  <w:font w:name="Symbol">
    <w:panose1 w:val="05050102010706020507"/>
    <w:charset w:val="02"/>
    <w:family w:val="roman"/>
    <w:pitch w:val="default"/>
    <w:sig w:usb0="00000000" w:usb1="00000000" w:usb2="00000000" w:usb3="00000000" w:csb0="80000000" w:csb1="00000000"/>
    <w:embedRegular r:id="rId4" w:fontKey="{1AA7D49A-CEA8-49B6-B78D-42501266C211}"/>
  </w:font>
  <w:font w:name="Calibri">
    <w:panose1 w:val="020F0502020204030204"/>
    <w:charset w:val="00"/>
    <w:family w:val="swiss"/>
    <w:pitch w:val="default"/>
    <w:sig w:usb0="E0002AFF" w:usb1="C000247B" w:usb2="00000009" w:usb3="00000000" w:csb0="200001FF" w:csb1="00000000"/>
    <w:embedRegular r:id="rId5" w:fontKey="{2BD785A1-1F45-499B-A1DC-BCD24F9F63E6}"/>
  </w:font>
  <w:font w:name="仿宋_GB2312">
    <w:panose1 w:val="02010609030101010101"/>
    <w:charset w:val="86"/>
    <w:family w:val="modern"/>
    <w:pitch w:val="default"/>
    <w:sig w:usb0="00000001" w:usb1="080E0000" w:usb2="00000000" w:usb3="00000000" w:csb0="00040000" w:csb1="00000000"/>
    <w:embedRegular r:id="rId6" w:fontKey="{0661B319-266B-4887-957F-2301C3A621B0}"/>
  </w:font>
  <w:font w:name="Arial">
    <w:panose1 w:val="020B0604020202020204"/>
    <w:charset w:val="00"/>
    <w:family w:val="swiss"/>
    <w:pitch w:val="default"/>
    <w:sig w:usb0="E0002EFF" w:usb1="C000785B" w:usb2="00000009" w:usb3="00000000" w:csb0="400001FF" w:csb1="FFFF0000"/>
    <w:embedRegular r:id="rId7" w:fontKey="{9740C7C1-21F8-4467-B5E1-323A6131FBBA}"/>
  </w:font>
  <w:font w:name="仿宋">
    <w:panose1 w:val="02010609060101010101"/>
    <w:charset w:val="86"/>
    <w:family w:val="modern"/>
    <w:pitch w:val="default"/>
    <w:sig w:usb0="800002BF" w:usb1="38CF7CFA" w:usb2="00000016" w:usb3="00000000" w:csb0="00040001" w:csb1="00000000"/>
    <w:embedRegular r:id="rId8" w:fontKey="{396E4077-CEF8-47BF-BE43-D4146F7ECC29}"/>
  </w:font>
  <w:font w:name="Times New Roman (正文 CS 字体)">
    <w:altName w:val="宋体"/>
    <w:panose1 w:val="00000000000000000000"/>
    <w:charset w:val="86"/>
    <w:family w:val="roman"/>
    <w:pitch w:val="default"/>
    <w:sig w:usb0="00000000" w:usb1="00000000" w:usb2="00000000" w:usb3="00000000" w:csb0="00000000" w:csb1="00000000"/>
    <w:embedRegular r:id="rId9" w:fontKey="{615930B3-0AC9-4D5B-91FD-E3F8CECF36C1}"/>
  </w:font>
  <w:font w:name="小标宋">
    <w:altName w:val="微软雅黑"/>
    <w:panose1 w:val="00000000000000000000"/>
    <w:charset w:val="86"/>
    <w:family w:val="script"/>
    <w:pitch w:val="default"/>
    <w:sig w:usb0="00000000" w:usb1="00000000" w:usb2="00000010" w:usb3="00000000" w:csb0="00040000" w:csb1="00000000"/>
    <w:embedRegular r:id="rId10" w:fontKey="{65DEF6C5-3C28-4A7F-A781-60736A67B236}"/>
  </w:font>
  <w:font w:name="方正小标宋简体">
    <w:panose1 w:val="03000509000000000000"/>
    <w:charset w:val="86"/>
    <w:family w:val="script"/>
    <w:pitch w:val="default"/>
    <w:sig w:usb0="00000001" w:usb1="080E0000" w:usb2="00000000" w:usb3="00000000" w:csb0="00040000" w:csb1="00000000"/>
    <w:embedRegular r:id="rId11" w:fontKey="{60541519-3857-474C-83A0-2228D41F9029}"/>
  </w:font>
  <w:font w:name="微软雅黑 Light">
    <w:panose1 w:val="020B0502040204020203"/>
    <w:charset w:val="86"/>
    <w:family w:val="swiss"/>
    <w:pitch w:val="default"/>
    <w:sig w:usb0="80000287" w:usb1="2ACF0010" w:usb2="00000016" w:usb3="00000000" w:csb0="0004001F" w:csb1="00000000"/>
    <w:embedRegular r:id="rId12" w:fontKey="{43DE5976-8F04-4B54-B04D-A4787E85F12B}"/>
  </w:font>
  <w:font w:name="楷体_GB2312">
    <w:panose1 w:val="02010609030101010101"/>
    <w:charset w:val="86"/>
    <w:family w:val="modern"/>
    <w:pitch w:val="default"/>
    <w:sig w:usb0="00000001" w:usb1="080E0000" w:usb2="00000000" w:usb3="00000000" w:csb0="00040000" w:csb1="00000000"/>
    <w:embedRegular r:id="rId13" w:fontKey="{BA952CF4-245C-4706-93B1-799B81DD1CF3}"/>
  </w:font>
  <w:font w:name="方正小标宋_GBK">
    <w:panose1 w:val="03000509000000000000"/>
    <w:charset w:val="86"/>
    <w:family w:val="auto"/>
    <w:pitch w:val="default"/>
    <w:sig w:usb0="00000001" w:usb1="080E0000" w:usb2="00000000" w:usb3="00000000" w:csb0="00040000" w:csb1="00000000"/>
    <w:embedRegular r:id="rId14" w:fontKey="{EC607098-CCBC-4802-8F62-89620CFF334D}"/>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mOTZmMDEwMWM5NTk2Y2FkYzMwMWU2NjQzOGUzNTkifQ=="/>
    <w:docVar w:name="KSO_WPS_MARK_KEY" w:val="bed5a288-7681-4cca-944d-0c91db78f600"/>
  </w:docVars>
  <w:rsids>
    <w:rsidRoot w:val="39533852"/>
    <w:rsid w:val="00193D92"/>
    <w:rsid w:val="002D2DE8"/>
    <w:rsid w:val="003906BD"/>
    <w:rsid w:val="00400227"/>
    <w:rsid w:val="004256E6"/>
    <w:rsid w:val="00534AA2"/>
    <w:rsid w:val="006F246B"/>
    <w:rsid w:val="00790A84"/>
    <w:rsid w:val="008370AE"/>
    <w:rsid w:val="008C1F8D"/>
    <w:rsid w:val="00A7279F"/>
    <w:rsid w:val="00BA13EF"/>
    <w:rsid w:val="00C13A80"/>
    <w:rsid w:val="00C543F1"/>
    <w:rsid w:val="00DF3E74"/>
    <w:rsid w:val="0301516D"/>
    <w:rsid w:val="04AC285A"/>
    <w:rsid w:val="07AA3B18"/>
    <w:rsid w:val="0C024DC7"/>
    <w:rsid w:val="12C61BC1"/>
    <w:rsid w:val="177864DB"/>
    <w:rsid w:val="19140B37"/>
    <w:rsid w:val="225D48DC"/>
    <w:rsid w:val="226D6B9F"/>
    <w:rsid w:val="22F706C3"/>
    <w:rsid w:val="261A0CA1"/>
    <w:rsid w:val="29B064E2"/>
    <w:rsid w:val="3647356F"/>
    <w:rsid w:val="39533852"/>
    <w:rsid w:val="3FDB04BE"/>
    <w:rsid w:val="4123338D"/>
    <w:rsid w:val="41D77DAE"/>
    <w:rsid w:val="41FD77BD"/>
    <w:rsid w:val="4550475C"/>
    <w:rsid w:val="4FED7EA4"/>
    <w:rsid w:val="50D54649"/>
    <w:rsid w:val="55FC0FA7"/>
    <w:rsid w:val="5B4D21DF"/>
    <w:rsid w:val="5B953A57"/>
    <w:rsid w:val="67983B67"/>
    <w:rsid w:val="6F1C2964"/>
    <w:rsid w:val="6F922A6B"/>
    <w:rsid w:val="711104CE"/>
    <w:rsid w:val="72893A62"/>
    <w:rsid w:val="78BD3EE3"/>
    <w:rsid w:val="7D531928"/>
    <w:rsid w:val="7F993210"/>
    <w:rsid w:val="7FAC01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jc w:val="both"/>
      <w:textAlignment w:val="baseline"/>
    </w:pPr>
    <w:rPr>
      <w:rFonts w:ascii="Times New Roman" w:hAnsi="Times New Roman" w:eastAsia="宋体" w:cs="Times New Roman"/>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spacing w:before="260" w:after="260" w:line="413" w:lineRule="auto"/>
      <w:outlineLvl w:val="2"/>
    </w:pPr>
    <w:rPr>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1"/>
    <w:qFormat/>
    <w:uiPriority w:val="0"/>
    <w:pPr>
      <w:spacing w:before="1200" w:line="20" w:lineRule="exact"/>
    </w:pPr>
    <w:rPr>
      <w:rFonts w:ascii="仿宋_GB2312" w:hAnsi="仿宋_GB2312" w:eastAsia="仿宋_GB2312"/>
      <w:sz w:val="32"/>
    </w:rPr>
  </w:style>
  <w:style w:type="paragraph" w:styleId="6">
    <w:name w:val="footer"/>
    <w:basedOn w:val="1"/>
    <w:link w:val="13"/>
    <w:qFormat/>
    <w:uiPriority w:val="0"/>
    <w:pPr>
      <w:tabs>
        <w:tab w:val="center" w:pos="4153"/>
        <w:tab w:val="right" w:pos="8306"/>
      </w:tabs>
      <w:snapToGrid w:val="0"/>
      <w:jc w:val="left"/>
    </w:pPr>
    <w:rPr>
      <w:sz w:val="18"/>
      <w:szCs w:val="18"/>
    </w:rPr>
  </w:style>
  <w:style w:type="paragraph" w:styleId="7">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10">
    <w:name w:val="Hyperlink"/>
    <w:basedOn w:val="9"/>
    <w:qFormat/>
    <w:uiPriority w:val="0"/>
    <w:rPr>
      <w:color w:val="0000FF"/>
      <w:u w:val="single"/>
    </w:rPr>
  </w:style>
  <w:style w:type="table" w:customStyle="1" w:styleId="11">
    <w:name w:val="网格型1"/>
    <w:qFormat/>
    <w:uiPriority w:val="39"/>
    <w:rPr>
      <w:rFonts w:eastAsia="仿宋" w:cs="Times New Roman (正文 CS 字体)"/>
      <w:sz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12">
    <w:name w:val="页眉 Char"/>
    <w:basedOn w:val="9"/>
    <w:link w:val="7"/>
    <w:qFormat/>
    <w:uiPriority w:val="0"/>
    <w:rPr>
      <w:rFonts w:ascii="Times New Roman" w:hAnsi="Times New Roman"/>
      <w:sz w:val="18"/>
      <w:szCs w:val="18"/>
    </w:rPr>
  </w:style>
  <w:style w:type="character" w:customStyle="1" w:styleId="13">
    <w:name w:val="页脚 Char"/>
    <w:basedOn w:val="9"/>
    <w:link w:val="6"/>
    <w:qFormat/>
    <w:uiPriority w:val="0"/>
    <w:rPr>
      <w:rFonts w:ascii="Times New Roman" w:hAnsi="Times New Roman"/>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1759</Words>
  <Characters>1802</Characters>
  <Lines>58</Lines>
  <Paragraphs>58</Paragraphs>
  <TotalTime>33</TotalTime>
  <ScaleCrop>false</ScaleCrop>
  <LinksUpToDate>false</LinksUpToDate>
  <CharactersWithSpaces>1893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2023-05-18T08:15:00Z</dcterms:created>
  <dc:creator>雅匀</dc:creator>
  <cp:lastModifiedBy>谭妍妍</cp:lastModifiedBy>
  <dcterms:modified xsi:type="dcterms:W3CDTF">2024-01-18T08:47:10Z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318993233_embed</vt:lpwstr>
  </property>
  <property fmtid="{D5CDD505-2E9C-101B-9397-08002B2CF9AE}" pid="4" name="ICV">
    <vt:lpwstr>00CE2771AC6241498B7FE3D2DA2D3355</vt:lpwstr>
  </property>
</Properties>
</file>